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pStyle w:val="3"/>
        <w:snapToGrid w:val="0"/>
        <w:spacing w:beforeLines="0" w:afterLines="0" w:line="540" w:lineRule="exact"/>
        <w:ind w:left="880" w:leftChars="144" w:hanging="419" w:hangingChars="131"/>
        <w:rPr>
          <w:rFonts w:hint="eastAsia" w:ascii="仿宋_GB2312" w:eastAsia="仿宋_GB2312"/>
          <w:sz w:val="32"/>
        </w:rPr>
      </w:pPr>
    </w:p>
    <w:p>
      <w:pPr>
        <w:pStyle w:val="3"/>
        <w:snapToGrid w:val="0"/>
        <w:spacing w:beforeLines="0" w:afterLines="0" w:line="540" w:lineRule="exact"/>
        <w:ind w:left="880" w:leftChars="144" w:hanging="419" w:hangingChars="131"/>
        <w:rPr>
          <w:rFonts w:hint="eastAsia" w:ascii="仿宋_GB2312" w:eastAsia="仿宋_GB2312"/>
          <w:sz w:val="32"/>
        </w:rPr>
      </w:pPr>
    </w:p>
    <w:p>
      <w:pPr>
        <w:pStyle w:val="3"/>
        <w:snapToGrid w:val="0"/>
        <w:spacing w:beforeLines="0" w:afterLines="0" w:line="540" w:lineRule="exact"/>
        <w:ind w:left="880" w:leftChars="144" w:hanging="419" w:hangingChars="131"/>
        <w:rPr>
          <w:rFonts w:hint="eastAsia" w:ascii="仿宋_GB2312" w:eastAsia="仿宋_GB2312"/>
          <w:sz w:val="32"/>
        </w:rPr>
      </w:pPr>
    </w:p>
    <w:p>
      <w:pPr>
        <w:spacing w:beforeLines="0" w:afterLines="0"/>
        <w:jc w:val="center"/>
        <w:rPr>
          <w:rFonts w:hint="eastAsia" w:eastAsia="方正小标宋简体"/>
          <w:sz w:val="48"/>
        </w:rPr>
      </w:pPr>
      <w:r>
        <w:rPr>
          <w:rFonts w:hint="eastAsia" w:eastAsia="方正小标宋简体"/>
          <w:sz w:val="48"/>
        </w:rPr>
        <w:t>中国文化艺术政府奖第四届动漫奖</w:t>
      </w:r>
    </w:p>
    <w:p>
      <w:pPr>
        <w:spacing w:beforeLines="0" w:afterLines="0"/>
        <w:jc w:val="center"/>
        <w:rPr>
          <w:rFonts w:hint="eastAsia" w:eastAsia="方正小标宋简体"/>
          <w:sz w:val="48"/>
        </w:rPr>
      </w:pPr>
      <w:r>
        <w:rPr>
          <w:rFonts w:hint="eastAsia" w:eastAsia="方正小标宋简体"/>
          <w:sz w:val="48"/>
        </w:rPr>
        <w:t>申报表</w:t>
      </w: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ind w:left="1890"/>
        <w:rPr>
          <w:rFonts w:hint="eastAsia" w:ascii="仿宋_GB2312"/>
          <w:sz w:val="32"/>
          <w:u w:val="single"/>
        </w:rPr>
      </w:pPr>
      <w:r>
        <w:rPr>
          <w:rFonts w:hint="eastAsia" w:ascii="仿宋_GB2312"/>
          <w:sz w:val="32"/>
        </w:rPr>
        <w:t>申 报 奖 项</w:t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 </w:t>
      </w:r>
    </w:p>
    <w:p>
      <w:pPr>
        <w:spacing w:beforeLines="0" w:afterLines="0"/>
        <w:ind w:left="1890"/>
        <w:rPr>
          <w:rFonts w:hint="eastAsia" w:ascii="仿宋_GB2312"/>
          <w:sz w:val="32"/>
          <w:u w:val="single"/>
        </w:rPr>
      </w:pPr>
      <w:r>
        <w:rPr>
          <w:rFonts w:hint="eastAsia" w:ascii="仿宋_GB2312"/>
          <w:sz w:val="32"/>
        </w:rPr>
        <w:t>作 品 名 称</w:t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 </w:t>
      </w:r>
    </w:p>
    <w:p>
      <w:pPr>
        <w:spacing w:beforeLines="0" w:afterLines="0"/>
        <w:ind w:left="1890"/>
        <w:rPr>
          <w:rFonts w:hint="eastAsia" w:ascii="仿宋_GB2312"/>
          <w:sz w:val="32"/>
          <w:u w:val="single"/>
        </w:rPr>
      </w:pPr>
      <w:r>
        <w:rPr>
          <w:rFonts w:hint="eastAsia" w:ascii="仿宋_GB2312" w:hAnsi="仿宋_GB2312"/>
          <w:w w:val="80"/>
          <w:sz w:val="32"/>
        </w:rPr>
        <w:t>申报单位或个人</w:t>
      </w:r>
      <w:r>
        <w:rPr>
          <w:rFonts w:hint="eastAsia" w:ascii="仿宋_GB2312" w:hAnsi="仿宋_GB2312"/>
          <w:w w:val="80"/>
          <w:sz w:val="28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</w:t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 </w:t>
      </w:r>
    </w:p>
    <w:p>
      <w:pPr>
        <w:spacing w:beforeLines="0" w:afterLines="0"/>
        <w:ind w:left="1890"/>
        <w:rPr>
          <w:rFonts w:hint="eastAsia" w:ascii="仿宋_GB2312"/>
          <w:sz w:val="32"/>
          <w:u w:val="single"/>
        </w:rPr>
      </w:pPr>
      <w:r>
        <w:rPr>
          <w:rFonts w:hint="eastAsia" w:ascii="仿宋_GB2312"/>
          <w:sz w:val="32"/>
        </w:rPr>
        <w:t>填 表 日 期</w:t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 </w:t>
      </w:r>
    </w:p>
    <w:p>
      <w:pPr>
        <w:spacing w:beforeLines="0" w:afterLines="0"/>
        <w:jc w:val="center"/>
        <w:rPr>
          <w:rFonts w:hint="eastAsia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/>
        <w:jc w:val="center"/>
        <w:textAlignment w:val="auto"/>
        <w:rPr>
          <w:rFonts w:hint="eastAsia" w:ascii="黑体" w:hAnsi="黑体" w:eastAsia="黑体"/>
          <w:sz w:val="32"/>
        </w:rPr>
      </w:pPr>
      <w:r>
        <w:rPr>
          <w:rFonts w:hint="default"/>
          <w:sz w:val="32"/>
        </w:rPr>
        <w:br w:type="page"/>
      </w:r>
      <w:r>
        <w:rPr>
          <w:rFonts w:hint="eastAsia" w:ascii="黑体" w:hAnsi="黑体" w:eastAsia="黑体"/>
          <w:sz w:val="32"/>
        </w:rPr>
        <w:t>一、基本信息</w:t>
      </w:r>
    </w:p>
    <w:p>
      <w:pPr>
        <w:spacing w:beforeLines="0" w:afterLines="0"/>
        <w:jc w:val="center"/>
        <w:rPr>
          <w:rFonts w:hint="eastAsia" w:ascii="黑体" w:hAnsi="黑体" w:eastAsia="黑体"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申报奖项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作品名称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出品单位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申报单位/个人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地址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邮政编码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法定代表人</w:t>
            </w:r>
          </w:p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（申报人为单位）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lang w:eastAsia="zh-CN"/>
              </w:rPr>
              <w:t>统一社会信用代码</w:t>
            </w:r>
          </w:p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（申报人为个人的提供身份证号）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联系人及联系方式</w:t>
            </w:r>
          </w:p>
          <w:p>
            <w:pPr>
              <w:spacing w:beforeLines="0" w:afterLines="0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（办公电话及手机）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银行户名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开 户 行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账    号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32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color w:val="333333"/>
                <w:sz w:val="32"/>
                <w:shd w:val="clear" w:color="auto" w:fill="FFFFFF"/>
              </w:rPr>
            </w:pPr>
            <w:r>
              <w:rPr>
                <w:rFonts w:hint="eastAsia" w:ascii="仿宋_GB2312"/>
                <w:spacing w:val="-6"/>
                <w:sz w:val="32"/>
              </w:rPr>
              <w:t>（围绕所申报的奖项填写，包括核心优势、取得成绩、业内影响等）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3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三、申报理由和依据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color w:val="333333"/>
                <w:sz w:val="32"/>
                <w:shd w:val="clear" w:color="auto" w:fill="FFFFFF"/>
              </w:rPr>
            </w:pPr>
            <w:r>
              <w:rPr>
                <w:rFonts w:hint="eastAsia" w:ascii="仿宋_GB2312"/>
                <w:sz w:val="32"/>
              </w:rPr>
              <w:t>（围绕《中国文化艺术政府奖动漫奖评奖办法》中“评奖标准”提炼，500字以内）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1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四、社会效益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color w:val="333333"/>
                <w:sz w:val="32"/>
                <w:shd w:val="clear" w:color="auto" w:fill="FFFFFF"/>
              </w:rPr>
            </w:pPr>
            <w:r>
              <w:rPr>
                <w:rFonts w:hint="eastAsia" w:ascii="仿宋_GB2312"/>
                <w:sz w:val="32"/>
              </w:rPr>
              <w:t>（围绕所申报的奖项填写，包括</w:t>
            </w:r>
            <w:r>
              <w:rPr>
                <w:rFonts w:hint="eastAsia" w:ascii="仿宋_GB2312"/>
                <w:sz w:val="32"/>
                <w:lang w:val="en"/>
              </w:rPr>
              <w:t>2017年以来</w:t>
            </w:r>
            <w:r>
              <w:rPr>
                <w:rFonts w:hint="eastAsia" w:ascii="仿宋_GB2312"/>
                <w:sz w:val="32"/>
              </w:rPr>
              <w:t>获得国际和国内知名奖项情况、获得国家部委相关奖励或扶持计划情况、主流媒体相关报道、观众评价等，获奖证书复印件附后）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2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</w:p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五、经济效益</w:t>
      </w:r>
    </w:p>
    <w:p>
      <w:pPr>
        <w:spacing w:beforeLines="0" w:afterLines="0" w:line="500" w:lineRule="exact"/>
        <w:jc w:val="left"/>
        <w:rPr>
          <w:rFonts w:hint="eastAsia" w:ascii="仿宋_GB2312"/>
          <w:spacing w:val="-11"/>
          <w:sz w:val="24"/>
        </w:rPr>
      </w:pPr>
      <w:r>
        <w:rPr>
          <w:rFonts w:hint="eastAsia" w:ascii="仿宋_GB2312"/>
          <w:spacing w:val="-11"/>
          <w:sz w:val="24"/>
        </w:rPr>
        <w:t>（</w:t>
      </w:r>
      <w:r>
        <w:rPr>
          <w:rFonts w:hint="eastAsia" w:ascii="仿宋_GB2312"/>
          <w:color w:val="auto"/>
          <w:spacing w:val="-11"/>
          <w:sz w:val="24"/>
        </w:rPr>
        <w:t>申报最佳动漫作品、最佳动漫创作者或团队、最佳国际市场开拓、最佳动漫形象需填写市场指标</w:t>
      </w:r>
      <w:r>
        <w:rPr>
          <w:rFonts w:hint="eastAsia" w:ascii="仿宋_GB2312"/>
          <w:color w:val="auto"/>
          <w:spacing w:val="-11"/>
          <w:sz w:val="24"/>
          <w:lang w:val="en"/>
        </w:rPr>
        <w:t>,申报最佳动漫</w:t>
      </w:r>
      <w:r>
        <w:rPr>
          <w:rFonts w:hint="eastAsia" w:ascii="仿宋_GB2312"/>
          <w:color w:val="auto"/>
          <w:spacing w:val="-11"/>
          <w:sz w:val="24"/>
          <w:lang w:val="en" w:eastAsia="zh-CN"/>
        </w:rPr>
        <w:t>技术</w:t>
      </w:r>
      <w:r>
        <w:rPr>
          <w:rFonts w:hint="eastAsia" w:ascii="仿宋_GB2312"/>
          <w:spacing w:val="-11"/>
          <w:sz w:val="24"/>
        </w:rPr>
        <w:t>、</w:t>
      </w:r>
      <w:r>
        <w:rPr>
          <w:rFonts w:hint="eastAsia" w:ascii="仿宋_GB2312"/>
          <w:color w:val="auto"/>
          <w:spacing w:val="-11"/>
          <w:sz w:val="24"/>
          <w:lang w:val="en"/>
        </w:rPr>
        <w:t>最佳动漫教育机构可视情况选填</w:t>
      </w:r>
      <w:r>
        <w:rPr>
          <w:rFonts w:hint="eastAsia" w:ascii="仿宋_GB2312"/>
          <w:color w:val="auto"/>
          <w:spacing w:val="-11"/>
          <w:sz w:val="24"/>
        </w:rPr>
        <w:t>。数据计算期间为2017年10月1日—2021年7月31日</w:t>
      </w:r>
      <w:r>
        <w:rPr>
          <w:rFonts w:hint="eastAsia" w:ascii="仿宋_GB2312"/>
          <w:spacing w:val="-11"/>
          <w:sz w:val="24"/>
        </w:rPr>
        <w:t>。申报最佳动漫创作者或团队，综合收入填列创作者或团队总收入，商标登记、著作权登记、获奖数量填列个人或团队获得数量。申报最佳国际市场开拓，需另外填列国际市场数据。）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97"/>
        <w:gridCol w:w="15"/>
        <w:gridCol w:w="1320"/>
        <w:gridCol w:w="1308"/>
        <w:gridCol w:w="15"/>
        <w:gridCol w:w="1445"/>
        <w:gridCol w:w="297"/>
        <w:gridCol w:w="13"/>
        <w:gridCol w:w="1195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申报产品或代表产品名称</w:t>
            </w:r>
          </w:p>
        </w:tc>
        <w:tc>
          <w:tcPr>
            <w:tcW w:w="7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类型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□漫画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□电视动画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□动画电影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□网络动漫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□动漫舞台剧 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□动漫形象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综合收入</w:t>
            </w:r>
          </w:p>
        </w:tc>
        <w:tc>
          <w:tcPr>
            <w:tcW w:w="26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商标登记数量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0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26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著作权登记数量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pacing w:val="-11"/>
                <w:sz w:val="24"/>
              </w:rPr>
              <w:t>出版发行总量(杂志刊登、单行本发行等总册数)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z w:val="3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pacing w:val="-11"/>
                <w:sz w:val="24"/>
              </w:rPr>
              <w:t>网络阅读量(在主要动漫网站所取得的阅读量)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电视动画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收视率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主流视频网站点击量（在主要视频网站所取得的点击量）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动画电影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电影总票房(在当年国内动画电影票房)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电影口碑(在主要电影评分网站上的评分)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网络动漫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网络平台总点击量（在新媒体动漫平台上取得的点击量或下载量)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网络平台收入(在网络渠道上的总收入)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动漫舞台剧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演出总场次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演出总收入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动漫形象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形象授权直接收入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形象衍生产品</w:t>
            </w:r>
          </w:p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市场收入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国际市场数据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出口国家数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出口收入总额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</w:p>
    <w:p>
      <w:pPr>
        <w:spacing w:beforeLines="0" w:afterLines="0"/>
        <w:rPr>
          <w:rFonts w:hint="default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六、</w:t>
      </w:r>
      <w:r>
        <w:rPr>
          <w:rFonts w:hint="eastAsia" w:eastAsia="黑体"/>
          <w:sz w:val="32"/>
        </w:rPr>
        <w:t>核心团队基本情况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812"/>
        <w:gridCol w:w="812"/>
        <w:gridCol w:w="1064"/>
        <w:gridCol w:w="1433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职务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性别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  <w:shd w:val="clear" w:color="FFFFFF" w:fill="D9D9D9"/>
              </w:rPr>
            </w:pPr>
            <w:r>
              <w:rPr>
                <w:rFonts w:hint="eastAsia" w:ascii="仿宋_GB2312"/>
                <w:sz w:val="28"/>
              </w:rPr>
              <w:t>民族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职称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出生日期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</w:trPr>
        <w:tc>
          <w:tcPr>
            <w:tcW w:w="9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分工情况简介（申报者为个人可不填）：</w:t>
            </w: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七、申报声明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3" w:hRule="atLeast"/>
        </w:trPr>
        <w:tc>
          <w:tcPr>
            <w:tcW w:w="9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声 明</w:t>
            </w: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本单位（本人）拥有申报材料中涉及的作品、形象及技术等永久完整知识产权，或经知识产权权利人书面授权，确保有权或享有充分授权参加本次评选，并同意无偿用于中国文化艺术政府奖第四届动漫奖的申报、评选、宣传、推广等用途使用，所提交的全部申请材料均真实、合法、有效。若因此产生问题，并经查明属实者，将取消本单位（本人）参评资格，并由本单位（本人）承担一切法律责任。</w:t>
            </w: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特此声明。</w:t>
            </w: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 xml:space="preserve">                       （单位盖章）</w:t>
            </w: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 xml:space="preserve">                     签字：</w:t>
            </w: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八、推荐意见（推荐单位填写）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2" w:hRule="atLeast"/>
        </w:trPr>
        <w:tc>
          <w:tcPr>
            <w:tcW w:w="9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    单位盖章</w:t>
            </w: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   年  月   日</w:t>
            </w: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</w:tc>
      </w:tr>
    </w:tbl>
    <w:p>
      <w:pPr>
        <w:spacing w:beforeLines="0" w:afterLines="0" w:line="560" w:lineRule="exact"/>
        <w:rPr>
          <w:rFonts w:hint="eastAsia" w:ascii="仿宋_GB2312"/>
          <w:sz w:val="28"/>
        </w:rPr>
      </w:pPr>
      <w:r>
        <w:rPr>
          <w:rFonts w:hint="eastAsia" w:ascii="仿宋_GB2312"/>
          <w:sz w:val="32"/>
        </w:rPr>
        <w:t>注：本表可复制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80256"/>
    <w:rsid w:val="01180256"/>
    <w:rsid w:val="2F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eastAsia="宋体"/>
      <w:color w:val="auto"/>
      <w:sz w:val="21"/>
      <w:szCs w:val="24"/>
    </w:rPr>
  </w:style>
  <w:style w:type="paragraph" w:styleId="3">
    <w:name w:val="List"/>
    <w:basedOn w:val="1"/>
    <w:unhideWhenUsed/>
    <w:qFormat/>
    <w:uiPriority w:val="0"/>
    <w:pPr>
      <w:spacing w:beforeLines="0" w:afterLines="0"/>
      <w:ind w:left="420" w:hanging="420"/>
    </w:pPr>
    <w:rPr>
      <w:rFonts w:hint="default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2021-07-05T11:06:00Z</dcterms:created>
  <dc:creator>艾米尔_马</dc:creator>
  <cp:lastModifiedBy>whhlyb</cp:lastModifiedBy>
  <dcterms:modified xsi:type="dcterms:W3CDTF">2021-07-05T13:09:51Z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1609A665884D4CF980F8CE4E7C57C8F1</vt:lpwstr>
  </property>
</Properties>
</file>